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127"/>
        <w:gridCol w:w="850"/>
        <w:gridCol w:w="8080"/>
        <w:gridCol w:w="3686"/>
      </w:tblGrid>
      <w:tr w:rsidR="00A764EE" w:rsidRPr="009B23DF" w:rsidTr="00CA5C3F">
        <w:tc>
          <w:tcPr>
            <w:tcW w:w="758" w:type="dxa"/>
          </w:tcPr>
          <w:p w:rsidR="00A764EE" w:rsidRPr="009B23DF" w:rsidRDefault="00A764EE" w:rsidP="00C53998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B23DF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7" w:type="dxa"/>
          </w:tcPr>
          <w:p w:rsidR="00A764EE" w:rsidRPr="009B23DF" w:rsidRDefault="00A764EE" w:rsidP="00C53998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ник на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кової та пр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сійної акт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вн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сті</w:t>
            </w:r>
          </w:p>
        </w:tc>
        <w:tc>
          <w:tcPr>
            <w:tcW w:w="850" w:type="dxa"/>
          </w:tcPr>
          <w:p w:rsidR="00A764EE" w:rsidRPr="009B23DF" w:rsidRDefault="00A764EE" w:rsidP="00C53998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8080" w:type="dxa"/>
          </w:tcPr>
          <w:p w:rsidR="00A764EE" w:rsidRPr="009B23DF" w:rsidRDefault="00A764EE" w:rsidP="00C53998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Документальне підтве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дження</w:t>
            </w:r>
          </w:p>
        </w:tc>
        <w:tc>
          <w:tcPr>
            <w:tcW w:w="3686" w:type="dxa"/>
          </w:tcPr>
          <w:p w:rsidR="00A764EE" w:rsidRPr="009B23DF" w:rsidRDefault="00A764EE" w:rsidP="00C53998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Примі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</w:t>
            </w:r>
            <w:r w:rsidRPr="009B2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</w:t>
            </w:r>
          </w:p>
        </w:tc>
      </w:tr>
      <w:tr w:rsidR="00A764EE" w:rsidRPr="00035F39" w:rsidTr="00CA5C3F">
        <w:tc>
          <w:tcPr>
            <w:tcW w:w="758" w:type="dxa"/>
          </w:tcPr>
          <w:p w:rsidR="00A764EE" w:rsidRDefault="00A764EE" w:rsidP="00C53998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</w:tcPr>
          <w:p w:rsidR="00A764EE" w:rsidRPr="00C27DFD" w:rsidRDefault="00A764EE" w:rsidP="00C539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ая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ність за останні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років наук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вих п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блік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цій у пер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оди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ч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них вида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нях, які вкл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чені до </w:t>
            </w:r>
            <w:proofErr w:type="spellStart"/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наук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метр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чних</w:t>
            </w:r>
            <w:proofErr w:type="spellEnd"/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баз </w:t>
            </w:r>
            <w:proofErr w:type="spellStart"/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Scopus</w:t>
            </w:r>
            <w:proofErr w:type="spellEnd"/>
            <w:r w:rsidRPr="00C2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або WOS</w:t>
            </w:r>
          </w:p>
        </w:tc>
        <w:tc>
          <w:tcPr>
            <w:tcW w:w="850" w:type="dxa"/>
          </w:tcPr>
          <w:p w:rsidR="00A764EE" w:rsidRPr="00344656" w:rsidRDefault="00A764EE" w:rsidP="00C5399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080" w:type="dxa"/>
          </w:tcPr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proofErr w:type="spellStart"/>
            <w:r w:rsidRPr="00025145">
              <w:rPr>
                <w:rFonts w:eastAsia="Calibri"/>
                <w:bCs/>
                <w:lang w:eastAsia="en-US"/>
              </w:rPr>
              <w:t>Vladimir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Batsamut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Aerosol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Dispersion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Model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of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Instant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Release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of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the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Active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Substance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Serhii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Hodlevskyi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Yurii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Babkov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Оlexandr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Lavnichenko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International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Journal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of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Advanced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Science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and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Technology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Vol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28.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No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12. 2019.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pp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178-186. </w:t>
            </w:r>
            <w:hyperlink r:id="rId8" w:history="1">
              <w:r w:rsidRPr="00025145">
                <w:rPr>
                  <w:rFonts w:eastAsia="Calibri"/>
                  <w:bCs/>
                  <w:lang w:eastAsia="en-US"/>
                </w:rPr>
                <w:t>http://sersc.org/journals/index.php/IJAST/article/view/1210</w:t>
              </w:r>
            </w:hyperlink>
          </w:p>
          <w:p w:rsidR="00A764EE" w:rsidRPr="00025145" w:rsidRDefault="00A764EE" w:rsidP="00C53998">
            <w:pPr>
              <w:jc w:val="both"/>
              <w:rPr>
                <w:rFonts w:eastAsia="Calibri"/>
                <w:bCs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A764EE" w:rsidRPr="00AE176A" w:rsidRDefault="00025145" w:rsidP="00C53998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Модель є основою для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штабної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моделі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розрахунку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тактичних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схем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застосування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спеціальних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засобів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сльозогінної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дії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спеціальних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операціях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сил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безпеки</w:t>
            </w:r>
            <w:proofErr w:type="spellEnd"/>
          </w:p>
        </w:tc>
      </w:tr>
      <w:tr w:rsidR="00025145" w:rsidRPr="00035F39" w:rsidTr="00CA5C3F">
        <w:tc>
          <w:tcPr>
            <w:tcW w:w="758" w:type="dxa"/>
          </w:tcPr>
          <w:p w:rsidR="00025145" w:rsidRPr="00AE176A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</w:tcPr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Ная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нше 5 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наук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вих публ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кацій у наук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вих в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даннях, вкл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чених до п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реліку наук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вих фах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вих в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дань Укра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ни, та пате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тів</w:t>
            </w:r>
          </w:p>
          <w:p w:rsidR="00025145" w:rsidRPr="00AE176A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25145" w:rsidRPr="00AE176A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025145" w:rsidRPr="00025145" w:rsidRDefault="00025145" w:rsidP="00025145">
            <w:pPr>
              <w:widowControl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025145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Ю. П. Сценарій реагування на зміни в інформаційно-психологічній обстановці під час інформаційно-психологічного протиборства між силами охорони правопорядку, що виконують завдання із забезпечення громадської безпеки, та сторонами соціального конфлікту (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дск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). М. О.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Чепель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Честь і Закон. 2019. Спецвипуск. С. 73–81. Таємно.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Інв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>. № ___т.</w:t>
            </w:r>
          </w:p>
          <w:p w:rsidR="00025145" w:rsidRPr="00025145" w:rsidRDefault="00025145" w:rsidP="00025145">
            <w:pPr>
              <w:pStyle w:val="a8"/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Бабков</w:t>
            </w:r>
            <w:proofErr w:type="spellEnd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Ю. П.  Метод підтримання потрібного рівня інформаційно-психологічної безпеки особового складу сил охорони правопорядку при виконанні завдань із забезпечення громадської безпеки. М. О. </w:t>
            </w:r>
            <w:proofErr w:type="spellStart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Чепель</w:t>
            </w:r>
            <w:proofErr w:type="spellEnd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Честь і Закон. 2019. № 4 (71). С. 44–54. </w:t>
            </w:r>
            <w:hyperlink r:id="rId9" w:history="1">
              <w:r w:rsidRPr="00025145">
                <w:rPr>
                  <w:bCs/>
                  <w:color w:val="auto"/>
                  <w:sz w:val="24"/>
                  <w:szCs w:val="24"/>
                </w:rPr>
                <w:t>http://chiz.nangu.edu.ua/article/view/196971</w:t>
              </w:r>
            </w:hyperlink>
          </w:p>
          <w:p w:rsidR="00025145" w:rsidRPr="00025145" w:rsidRDefault="00025145" w:rsidP="00025145">
            <w:pPr>
              <w:pStyle w:val="a8"/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Бабков</w:t>
            </w:r>
            <w:proofErr w:type="spellEnd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Ю. П.  Форми інформаційно-психологічного протиборства в ході виконання завдань із забезпечення громадської безпеки формуваннями Національної гвардії України. М. О. </w:t>
            </w:r>
            <w:proofErr w:type="spellStart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Чепель</w:t>
            </w:r>
            <w:proofErr w:type="spellEnd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В. І. Пасічник. Честь і Закон. 2018. № 4 (67). С. 95–102. </w:t>
            </w:r>
            <w:hyperlink r:id="rId10" w:history="1">
              <w:r w:rsidRPr="00025145">
                <w:rPr>
                  <w:bCs/>
                  <w:color w:val="auto"/>
                  <w:sz w:val="24"/>
                  <w:szCs w:val="24"/>
                </w:rPr>
                <w:t>http://chiz.nangu.edu.ua/article/view/156848</w:t>
              </w:r>
            </w:hyperlink>
          </w:p>
          <w:p w:rsidR="00025145" w:rsidRPr="00025145" w:rsidRDefault="00025145" w:rsidP="00025145">
            <w:pPr>
              <w:widowControl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025145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Ю. П.  Моделі інформаційно-психологічного протиборства між силами охорони правопорядку, що виконують завдання із забезпечення громадської, державної безпеки, та сторонами соціального конфлікту (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дск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).     М. О. 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Чепель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Честь і Закон. 2018. № 5. С. 90–97. Таємно.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Інв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>. № 532 т.</w:t>
            </w:r>
          </w:p>
          <w:p w:rsidR="00025145" w:rsidRPr="00025145" w:rsidRDefault="00025145" w:rsidP="00025145">
            <w:pPr>
              <w:pStyle w:val="a8"/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Бабков</w:t>
            </w:r>
            <w:proofErr w:type="spellEnd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Ю. П.  Показники і критерії оцінювання рівня складності інформаційно-психологічної обстановки в районі виконання завдань із забезпечення громадської безпеки формуваннями Національної гвардії України. М. О. </w:t>
            </w:r>
            <w:proofErr w:type="spellStart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Чепель</w:t>
            </w:r>
            <w:proofErr w:type="spellEnd"/>
            <w:r w:rsidRPr="000251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Честь і Закон. 2019. № 2 (69). С. 53–62. </w:t>
            </w:r>
            <w:hyperlink r:id="rId11" w:history="1">
              <w:r w:rsidRPr="00025145">
                <w:rPr>
                  <w:bCs/>
                  <w:color w:val="auto"/>
                  <w:sz w:val="24"/>
                  <w:szCs w:val="24"/>
                </w:rPr>
                <w:t>http://chiz.nangu.edu.ua/article/view/177921</w:t>
              </w:r>
            </w:hyperlink>
          </w:p>
          <w:p w:rsidR="00025145" w:rsidRPr="00025145" w:rsidRDefault="00025145" w:rsidP="00025145">
            <w:pPr>
              <w:widowControl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025145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Ю. П. Проблеми державного управління розвитком національної гвардії України у сфері забезпечення національної безпеки і обороноздатності. Д. А. Кочерга, О. М. Шаповал. Честь і закон. 2018. № 1. С. 8–13. </w:t>
            </w:r>
            <w:hyperlink r:id="rId12" w:history="1">
              <w:r w:rsidRPr="00025145">
                <w:rPr>
                  <w:rFonts w:eastAsia="Calibri"/>
                  <w:bCs/>
                  <w:lang w:eastAsia="en-US"/>
                </w:rPr>
                <w:t>http://chiz.nangu.edu.ua/article/view/136934</w:t>
              </w:r>
            </w:hyperlink>
          </w:p>
          <w:p w:rsidR="00025145" w:rsidRPr="00A44C01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Бабков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Ю. П.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Концептульна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модель державного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логістичним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забезпеченням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спільних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дій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сил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безпеки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умовах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виникнення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кризових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ситуацій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.С.В.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Бєлай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О.Г. Бондаренко . Честь і закон. 2019. № 2. С. 70–78. </w:t>
            </w:r>
            <w:hyperlink r:id="rId13" w:history="1">
              <w:r w:rsidRPr="00025145">
                <w:rPr>
                  <w:rFonts w:ascii="Times New Roman" w:hAnsi="Times New Roman"/>
                  <w:bCs/>
                  <w:sz w:val="24"/>
                  <w:szCs w:val="24"/>
                  <w:lang w:val="uk-UA"/>
                </w:rPr>
                <w:t>http://chiz.nangu.edu.ua/article/view/177929</w:t>
              </w:r>
            </w:hyperlink>
          </w:p>
        </w:tc>
        <w:tc>
          <w:tcPr>
            <w:tcW w:w="3686" w:type="dxa"/>
          </w:tcPr>
          <w:p w:rsidR="00025145" w:rsidRPr="00025145" w:rsidRDefault="00025145" w:rsidP="00025145">
            <w:pPr>
              <w:widowControl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 xml:space="preserve">Змістовий модуль 2.8.Інформаційна безпека держави навчальної дисципліни «Національна безпека України» </w:t>
            </w: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Змістовий модуль 2.8.Інформаційна безпека держави навчальної дисципліни «Національна безпека України»</w:t>
            </w: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Змістовий модуль 2.8.Інформаційна безпека держави навчальної дисципліни «Національна безпека України»</w:t>
            </w: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Змістовий модуль 2.5. «Обстановка у сфері внутрішньої безпеки держави» навчальної дисципліни «Національна безпека України»</w:t>
            </w: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 xml:space="preserve">Наукові дослідження в галузі забезпечення національної безпеки і обороноздатності, а також спільних дій сил безпеки в умовах виникнення кризових ситуацій </w:t>
            </w:r>
          </w:p>
        </w:tc>
      </w:tr>
      <w:tr w:rsidR="00025145" w:rsidRPr="00035F39" w:rsidTr="00CA5C3F">
        <w:tc>
          <w:tcPr>
            <w:tcW w:w="758" w:type="dxa"/>
          </w:tcPr>
          <w:p w:rsidR="00025145" w:rsidRPr="00AE176A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</w:tcPr>
          <w:p w:rsidR="00025145" w:rsidRPr="00AE176A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Ная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ність вид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ного підр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чн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ка чи н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вчал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ного посі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ника </w:t>
            </w:r>
            <w:r w:rsidRPr="001A51A2">
              <w:rPr>
                <w:rFonts w:ascii="Times New Roman" w:hAnsi="Times New Roman"/>
                <w:sz w:val="24"/>
                <w:szCs w:val="24"/>
                <w:lang w:val="uk-UA"/>
              </w:rPr>
              <w:t>або мон</w:t>
            </w:r>
            <w:r w:rsidRPr="001A51A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A51A2">
              <w:rPr>
                <w:rFonts w:ascii="Times New Roman" w:hAnsi="Times New Roman"/>
                <w:sz w:val="24"/>
                <w:szCs w:val="24"/>
                <w:lang w:val="uk-UA"/>
              </w:rPr>
              <w:t>графії</w:t>
            </w:r>
          </w:p>
        </w:tc>
        <w:tc>
          <w:tcPr>
            <w:tcW w:w="850" w:type="dxa"/>
          </w:tcPr>
          <w:p w:rsidR="00025145" w:rsidRPr="00AE176A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025145" w:rsidRPr="00025145" w:rsidRDefault="00025145" w:rsidP="00025145">
            <w:pPr>
              <w:widowControl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 xml:space="preserve">1. Підручник сержанта внутрішніх військ / С. А. Бабак, Ю. П.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, В. М.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Бацамут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та ін. ; за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заг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ред. С. Т.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Полторака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>. –Харків : Акад. ВВ МВС України. – 2013. – 616 с.</w:t>
            </w:r>
          </w:p>
          <w:p w:rsidR="00025145" w:rsidRPr="00025145" w:rsidRDefault="00025145" w:rsidP="00025145">
            <w:pPr>
              <w:widowControl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 xml:space="preserve">2.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Ю. П. Основи підготовки підрозділів спеціального призначення внутрішніх військ : навчальний посібник / Ю. П.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, В. М.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Бацамут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, О. В. Лисенко ; за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заг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. ред. С. Т.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Полторака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; МОН України. – Харків : АВВ МВС України, 2012. – 482 с. (Навчальний посібник з грифом МОН).</w:t>
            </w:r>
          </w:p>
          <w:p w:rsidR="00025145" w:rsidRPr="00AE176A" w:rsidRDefault="00025145" w:rsidP="00025145">
            <w:pPr>
              <w:widowControl w:val="0"/>
              <w:ind w:firstLine="709"/>
              <w:jc w:val="both"/>
              <w:rPr>
                <w:bCs/>
              </w:rPr>
            </w:pPr>
            <w:r w:rsidRPr="00025145">
              <w:rPr>
                <w:rFonts w:eastAsia="Calibri"/>
                <w:bCs/>
                <w:lang w:eastAsia="en-US"/>
              </w:rPr>
              <w:t xml:space="preserve">3.Теорія і практика виховної роботи у внутрішніх військах МВС України: Підручник / О. О.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Іллюк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, Ю. П.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, В. Є.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Глуховський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та ін..; За загальною ред. С.Т. Полторака. - Х.: Акад. ВВ МВС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України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>, 2008. – 650 с.</w:t>
            </w:r>
          </w:p>
        </w:tc>
        <w:tc>
          <w:tcPr>
            <w:tcW w:w="3686" w:type="dxa"/>
          </w:tcPr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Навчальні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видання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підготовки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фахівців в галузі 25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Національна безпека,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воєнні науки, безпека державного кордону</w:t>
            </w:r>
          </w:p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5145" w:rsidRPr="00AE176A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145" w:rsidRPr="00035F39" w:rsidTr="00CA5C3F">
        <w:tc>
          <w:tcPr>
            <w:tcW w:w="758" w:type="dxa"/>
          </w:tcPr>
          <w:p w:rsidR="00025145" w:rsidRPr="00AE176A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</w:tcPr>
          <w:p w:rsidR="00025145" w:rsidRPr="00AE176A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Наук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ве 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рівни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тво здоб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вачем, який оде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жав док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мент про пр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суд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ження</w:t>
            </w:r>
            <w:proofErr w:type="spellEnd"/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вого ступ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850" w:type="dxa"/>
          </w:tcPr>
          <w:p w:rsidR="00025145" w:rsidRPr="00AE176A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 xml:space="preserve">1.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Антонець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В.В. (к. військ. н., диплом ДК 066963 від 23.02.2011)</w:t>
            </w:r>
          </w:p>
          <w:p w:rsidR="00025145" w:rsidRP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Адамчук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М.М. (к. військ. н., диплом ДК 044804 від 11.10.2017)</w:t>
            </w:r>
          </w:p>
        </w:tc>
        <w:tc>
          <w:tcPr>
            <w:tcW w:w="3686" w:type="dxa"/>
          </w:tcPr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Захищені за науковою спеціальністю 21.07.05 Службово-бойова діяльність сил охорони правопорядку</w:t>
            </w:r>
          </w:p>
        </w:tc>
      </w:tr>
      <w:tr w:rsidR="00025145" w:rsidRPr="00E9762F" w:rsidTr="00CA5C3F">
        <w:tc>
          <w:tcPr>
            <w:tcW w:w="758" w:type="dxa"/>
          </w:tcPr>
          <w:p w:rsidR="00025145" w:rsidRPr="00AE176A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</w:tcPr>
          <w:p w:rsidR="00025145" w:rsidRPr="00AE176A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Вик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нання фун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цій н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уков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го 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рівника або відп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відал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ного вик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навця наук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вої т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ми, або гол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вного реда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ра/члена ред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кці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ної кол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гії наук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вого вида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ня, вкл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ченого до п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реліку наук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вих фах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вих в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дань Укра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AE176A">
              <w:rPr>
                <w:rFonts w:ascii="Times New Roman" w:hAnsi="Times New Roman"/>
                <w:sz w:val="24"/>
                <w:szCs w:val="24"/>
                <w:lang w:val="uk-UA"/>
              </w:rPr>
              <w:t>ни</w:t>
            </w:r>
          </w:p>
        </w:tc>
        <w:tc>
          <w:tcPr>
            <w:tcW w:w="850" w:type="dxa"/>
          </w:tcPr>
          <w:p w:rsidR="00025145" w:rsidRPr="00AE176A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025145" w:rsidRPr="00025145" w:rsidRDefault="00025145" w:rsidP="00025145">
            <w:pPr>
              <w:widowControl w:val="0"/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Науковий керівник НДР “Розробка методики порівняльного оцінювання результатів діяльності територіальних командувань внутрішніх військ МВС України”</w:t>
            </w:r>
          </w:p>
          <w:p w:rsidR="00025145" w:rsidRPr="00025145" w:rsidRDefault="00025145" w:rsidP="00025145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(Шифр – “Організація-К3”)</w:t>
            </w:r>
          </w:p>
          <w:p w:rsidR="00025145" w:rsidRPr="00025145" w:rsidRDefault="00025145" w:rsidP="00025145">
            <w:pPr>
              <w:widowControl w:val="0"/>
              <w:ind w:firstLine="567"/>
              <w:jc w:val="both"/>
              <w:rPr>
                <w:rFonts w:eastAsia="Calibri"/>
                <w:bCs/>
                <w:lang w:eastAsia="en-US"/>
              </w:rPr>
            </w:pPr>
          </w:p>
          <w:p w:rsidR="00025145" w:rsidRPr="00025145" w:rsidRDefault="00025145" w:rsidP="00025145">
            <w:pPr>
              <w:widowControl w:val="0"/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 xml:space="preserve">член редакційної колегії журналу ,,Честь і закон“ з 2003 по 2018 рік  </w:t>
            </w:r>
            <w:hyperlink r:id="rId14" w:history="1">
              <w:r w:rsidRPr="00025145">
                <w:rPr>
                  <w:rFonts w:eastAsia="Calibri"/>
                  <w:bCs/>
                  <w:lang w:eastAsia="en-US"/>
                </w:rPr>
                <w:t>ЧіЗ.PDF</w:t>
              </w:r>
            </w:hyperlink>
          </w:p>
          <w:p w:rsidR="00025145" w:rsidRPr="00AE176A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025145" w:rsidRPr="00025145" w:rsidRDefault="00025145" w:rsidP="00025145">
            <w:pPr>
              <w:widowControl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Наукові дослідження у сфері оцінювання службово-бойової діяльність сил охорони правопорядку</w:t>
            </w:r>
          </w:p>
          <w:p w:rsidR="00025145" w:rsidRPr="00AE176A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Редагування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статей за рубриками «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Національна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безпека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Службово-бойова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діяльність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сил </w:t>
            </w:r>
            <w:proofErr w:type="spellStart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охорони</w:t>
            </w:r>
            <w:proofErr w:type="spellEnd"/>
            <w:r w:rsidRPr="000251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правопорядку</w:t>
            </w:r>
          </w:p>
        </w:tc>
      </w:tr>
      <w:tr w:rsidR="00025145" w:rsidRPr="00E9762F" w:rsidTr="00CA5C3F">
        <w:tc>
          <w:tcPr>
            <w:tcW w:w="758" w:type="dxa"/>
          </w:tcPr>
          <w:p w:rsidR="00025145" w:rsidRPr="008D6772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67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27" w:type="dxa"/>
          </w:tcPr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</w:pPr>
            <w:r w:rsidRPr="00025145">
              <w:rPr>
                <w:rFonts w:eastAsia="Calibri"/>
                <w:bCs/>
                <w:lang w:eastAsia="en-US"/>
              </w:rPr>
              <w:t>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</w:t>
            </w:r>
          </w:p>
        </w:tc>
        <w:tc>
          <w:tcPr>
            <w:tcW w:w="850" w:type="dxa"/>
          </w:tcPr>
          <w:p w:rsidR="00025145" w:rsidRPr="008D6772" w:rsidRDefault="00025145" w:rsidP="0002514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- начальник науково-організаційного відділу Військового інституту Національної гвардії України з 19.03.1999 по 22.11.2001;</w:t>
            </w:r>
          </w:p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- начальник науково-організаційного відділу Військового інституту внутрішніх військ МВС України з 22.11.2001 по 19.03.2003;</w:t>
            </w:r>
          </w:p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- начальник факультету післядипломної освіти і підготовки фахівців на платних засадах Військового інституту внутрішніх військ МВС України              з 19.03.2003 по 09.06.2005;</w:t>
            </w:r>
          </w:p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 xml:space="preserve">- заступник начальника Академії внутрішніх військ МВС України з наукової роботи з 18.07.2006 по 30.09.2009. </w:t>
            </w:r>
            <w:hyperlink r:id="rId15" w:history="1">
              <w:r w:rsidRPr="00025145">
                <w:rPr>
                  <w:rFonts w:eastAsia="Calibri"/>
                  <w:bCs/>
                  <w:lang w:eastAsia="en-US"/>
                </w:rPr>
                <w:t>Послужна картка.PDF</w:t>
              </w:r>
            </w:hyperlink>
          </w:p>
        </w:tc>
        <w:tc>
          <w:tcPr>
            <w:tcW w:w="3686" w:type="dxa"/>
          </w:tcPr>
          <w:p w:rsidR="00025145" w:rsidRPr="00025145" w:rsidRDefault="00025145" w:rsidP="00025145">
            <w:pPr>
              <w:widowControl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 xml:space="preserve">організаційна робота здійснювалася в інтересах проведення наукових досліджень і підготовки фахівців в галузі  25Національна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безпека,воєнні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науки, </w:t>
            </w:r>
            <w:proofErr w:type="spellStart"/>
            <w:r w:rsidRPr="00025145">
              <w:rPr>
                <w:rFonts w:eastAsia="Calibri"/>
                <w:bCs/>
                <w:lang w:eastAsia="en-US"/>
              </w:rPr>
              <w:t>безпека</w:t>
            </w:r>
            <w:proofErr w:type="spellEnd"/>
            <w:r w:rsidRPr="00025145">
              <w:rPr>
                <w:rFonts w:eastAsia="Calibri"/>
                <w:bCs/>
                <w:lang w:eastAsia="en-US"/>
              </w:rPr>
              <w:t xml:space="preserve"> державного кордону</w:t>
            </w:r>
          </w:p>
        </w:tc>
      </w:tr>
      <w:tr w:rsidR="00025145" w:rsidRPr="00E9762F" w:rsidTr="00CA5C3F">
        <w:tc>
          <w:tcPr>
            <w:tcW w:w="758" w:type="dxa"/>
          </w:tcPr>
          <w:p w:rsidR="00025145" w:rsidRPr="00AE176A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127" w:type="dxa"/>
          </w:tcPr>
          <w:p w:rsidR="00025145" w:rsidRPr="00A54D7D" w:rsidRDefault="00025145" w:rsidP="0002514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Участь в ате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тації наук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вих к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дрів як оф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ційн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го опон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нта або члена спеці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лізов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ної вченої р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54D7D">
              <w:rPr>
                <w:rFonts w:ascii="Times New Roman" w:hAnsi="Times New Roman"/>
                <w:sz w:val="24"/>
                <w:szCs w:val="24"/>
                <w:lang w:val="uk-UA"/>
              </w:rPr>
              <w:t>ди</w:t>
            </w:r>
          </w:p>
        </w:tc>
        <w:tc>
          <w:tcPr>
            <w:tcW w:w="850" w:type="dxa"/>
          </w:tcPr>
          <w:p w:rsidR="00025145" w:rsidRPr="00A54D7D" w:rsidRDefault="00025145" w:rsidP="0002514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- вчений секретар СРК 64.702.04 Харківського військового університету:</w:t>
            </w:r>
          </w:p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- член СРК 64.726.01 Військового інституту внутрішніх військ МВС України (наказ ВАК України від 13.04.2006 № 15/08-т );</w:t>
            </w:r>
          </w:p>
          <w:p w:rsidR="00025145" w:rsidRPr="00025145" w:rsidRDefault="00025145" w:rsidP="00025145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- член СРК 64.726.01 Академії внутрішніх військ МВС України (наказ ВАК України від 08.07.2009 № 33/08-нт);</w:t>
            </w:r>
          </w:p>
          <w:p w:rsidR="00025145" w:rsidRPr="00025145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025145" w:rsidRPr="00025145" w:rsidRDefault="00025145" w:rsidP="00025145">
            <w:pPr>
              <w:widowControl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025145">
              <w:rPr>
                <w:rFonts w:eastAsia="Calibri"/>
                <w:bCs/>
                <w:lang w:eastAsia="en-US"/>
              </w:rPr>
              <w:t>за науковою спеціальністю 21.07.05 Службово-бойова діяльність сил охорони правопорядку</w:t>
            </w:r>
          </w:p>
          <w:p w:rsidR="00025145" w:rsidRPr="00AE176A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145" w:rsidRPr="00E9762F" w:rsidTr="00CA5C3F">
        <w:tc>
          <w:tcPr>
            <w:tcW w:w="758" w:type="dxa"/>
          </w:tcPr>
          <w:p w:rsidR="00025145" w:rsidRPr="00AE176A" w:rsidRDefault="00025145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127" w:type="dxa"/>
          </w:tcPr>
          <w:p w:rsidR="00025145" w:rsidRPr="00DF25C3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публікацій:</w:t>
            </w:r>
          </w:p>
        </w:tc>
        <w:tc>
          <w:tcPr>
            <w:tcW w:w="850" w:type="dxa"/>
          </w:tcPr>
          <w:p w:rsidR="00025145" w:rsidRPr="00DF25C3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DF25C3" w:rsidRPr="00DF25C3" w:rsidRDefault="00DF25C3" w:rsidP="00DF25C3">
            <w:pPr>
              <w:widowControl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proofErr w:type="spellStart"/>
            <w:r w:rsidRPr="00DF25C3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 Ю. П. Підходи до побудови моделей інформаційно-психологічного протиборства у сфері державної та громадської безпеки. М.О.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Чепель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>. Тези доповіді // Збірник тез доповідей науково-практичної конференції «Службово-бойова діяльність Національної гвардії України: сучасний стан, проблеми та перспективи» 14 березня 2019 року НА НГ України. – Харків: НА НГ України. – 2019. − С. 5– 6.</w:t>
            </w:r>
            <w:hyperlink r:id="rId16" w:history="1">
              <w:r w:rsidRPr="00DF25C3">
                <w:rPr>
                  <w:rFonts w:eastAsia="Calibri"/>
                  <w:bCs/>
                  <w:lang w:eastAsia="en-US"/>
                </w:rPr>
                <w:t>Збірник тез 2019_секція 1 ОСТАННИЙ 11.03.2019.pdf</w:t>
              </w:r>
            </w:hyperlink>
          </w:p>
          <w:p w:rsidR="00DF25C3" w:rsidRPr="00DF25C3" w:rsidRDefault="00DF25C3" w:rsidP="00DF25C3">
            <w:pPr>
              <w:widowControl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proofErr w:type="spellStart"/>
            <w:r w:rsidRPr="00DF25C3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 Ю. П. Підходи до побудови моделей інформаційно-психологічного протиборства у сфері державної та громадської безпеки. М.О.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Чепель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>. Тези доповіді // Збірник тез доповідей науково-практичної конференції «Службово-бойова діяльність Національної гвардії України: сучасний стан, проблеми та перспективи» 14 березня 2019 року НА НГ України. – Харків: НА НГ України. – 2019. − С. 5– 6.</w:t>
            </w:r>
            <w:hyperlink r:id="rId17" w:history="1">
              <w:r w:rsidRPr="00DF25C3">
                <w:rPr>
                  <w:rFonts w:eastAsia="Calibri"/>
                  <w:bCs/>
                  <w:lang w:eastAsia="en-US"/>
                </w:rPr>
                <w:t>Збірник тез 2019_секція 1 ОСТАННИЙ 11.03.2019.pdf</w:t>
              </w:r>
            </w:hyperlink>
          </w:p>
          <w:p w:rsidR="00DF25C3" w:rsidRPr="00DF25C3" w:rsidRDefault="00DF25C3" w:rsidP="00DF25C3">
            <w:pPr>
              <w:widowControl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proofErr w:type="spellStart"/>
            <w:r w:rsidRPr="00DF25C3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 Ю. П. Сучасні аспекти забезпечення державної безпеки Національною гвардією України. Тези доповіді // Матеріали регіонального круглого столу «Актуальні питання забезпечення службово-бойової діяльності сил сектору безпеки і оборони» 19 квітня 2019 року Інститут підготовки юридичних кадрів для СБУ НЮУ ім. Ярослава Мудрого. – Харків: ІПЮК для СБУ НЮУ ім. Ярослава Мудрого. – 2019. − С. 9 – 10.</w:t>
            </w:r>
            <w:hyperlink r:id="rId18" w:history="1">
              <w:r w:rsidRPr="00DF25C3">
                <w:rPr>
                  <w:rFonts w:eastAsia="Calibri"/>
                  <w:bCs/>
                  <w:lang w:eastAsia="en-US"/>
                </w:rPr>
                <w:t>збірник тез круглого столу 2019.pdf</w:t>
              </w:r>
            </w:hyperlink>
          </w:p>
          <w:p w:rsidR="00DF25C3" w:rsidRPr="00DF25C3" w:rsidRDefault="00DF25C3" w:rsidP="00DF25C3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DF25C3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 Ю. П. Підхід до визначення понять теорії національної безпеки. Службово-бойова діяльність Національної гвардії України: сучасний стан, проблеми та перспективи, секція 1 – Актуальні проблеми оперативного мистецтва та тактики Національної гвардії України :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зб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. тез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доп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>. наук.-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практ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конф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>., м. Харків, 02 квіт. 2020 р. Харків : НА НГУ, 2020. С. 4–5.</w:t>
            </w:r>
            <w:hyperlink r:id="rId19" w:history="1">
              <w:r w:rsidRPr="00DF25C3">
                <w:rPr>
                  <w:rFonts w:eastAsia="Calibri"/>
                  <w:bCs/>
                  <w:lang w:eastAsia="en-US"/>
                </w:rPr>
                <w:t>Збірник тез 2020_секція 1 САЙТ.pdf</w:t>
              </w:r>
            </w:hyperlink>
          </w:p>
          <w:p w:rsidR="00DF25C3" w:rsidRPr="00DF25C3" w:rsidRDefault="00DF25C3" w:rsidP="00DF25C3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DF25C3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 Ю. П., 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Чепель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 М. О. Підхід до застосування методу підтримання потрібного рівня інформаційно-психологічної безпеки особового складу сил охорони правопорядку при виконанні завдань із забезпечення громадської безпеки. Актуальні питання забезпечення службово-бойової діяльності сил сектору безпеки і оборони : матеріали регіон. круг. столу, м. Харків, 24 квіт. 2020 р. Харків :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Інст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підг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юр.кадр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. для СБУ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Нац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юр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унів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>. ім. Я. Мудрого, 2020. С. 212–214.</w:t>
            </w:r>
            <w:hyperlink r:id="rId20" w:history="1">
              <w:r w:rsidRPr="00DF25C3">
                <w:rPr>
                  <w:rFonts w:eastAsia="Calibri"/>
                  <w:bCs/>
                  <w:lang w:eastAsia="en-US"/>
                </w:rPr>
                <w:t>Круглий стіл ІПЮК СБУ 24.04.2020.pdf</w:t>
              </w:r>
            </w:hyperlink>
          </w:p>
          <w:p w:rsidR="00DF25C3" w:rsidRPr="00DF25C3" w:rsidRDefault="00DF25C3" w:rsidP="00DF25C3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DF25C3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, Ю. П. ,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Адамчук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М.М.Підходи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 до прийняття рішення при реагуванні на кризові ситуації, що загрожують національній безпеці України. «Стан та перспективи реформування сектору безпеки і оборони України»: матеріали науково-практичної конференції (25-26 листопада 2016 року),- К.:ПАЛИВОДА А.В.,2016.-С.24–27. </w:t>
            </w:r>
            <w:hyperlink r:id="rId21" w:history="1">
              <w:r w:rsidRPr="00DF25C3">
                <w:rPr>
                  <w:rFonts w:eastAsia="Calibri"/>
                  <w:bCs/>
                  <w:lang w:eastAsia="en-US"/>
                </w:rPr>
                <w:t>http://indo.univ.kiev.ua/images/ _25_11_2016_.pdf</w:t>
              </w:r>
            </w:hyperlink>
          </w:p>
          <w:p w:rsidR="00DF25C3" w:rsidRPr="00DF25C3" w:rsidRDefault="00DF25C3" w:rsidP="00DF25C3">
            <w:pPr>
              <w:widowControl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proofErr w:type="spellStart"/>
            <w:r w:rsidRPr="00DF25C3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, Ю. П. Підхід до реалізації сценарного методу при прийнятті рішень з реагування угруповань національної гвардії України на кризові ситуації [Текст] / О.В. Кривенко , Ю. П.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Бабков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, М. М.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Адамчук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 // Наукове забезпечення службово-бойової діяльності Національної гвардії України: тези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доп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>. Наук.-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практ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DF25C3">
              <w:rPr>
                <w:rFonts w:eastAsia="Calibri"/>
                <w:bCs/>
                <w:lang w:eastAsia="en-US"/>
              </w:rPr>
              <w:t>конф</w:t>
            </w:r>
            <w:proofErr w:type="spellEnd"/>
            <w:r w:rsidRPr="00DF25C3">
              <w:rPr>
                <w:rFonts w:eastAsia="Calibri"/>
                <w:bCs/>
                <w:lang w:eastAsia="en-US"/>
              </w:rPr>
              <w:t>., Харків, 30березня 2017 р. – Х. : НА НГ України, 2017. – С. 5–8.</w:t>
            </w:r>
          </w:p>
          <w:p w:rsidR="00025145" w:rsidRPr="00DF25C3" w:rsidRDefault="00025145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025145" w:rsidRPr="00DF25C3" w:rsidRDefault="00DF25C3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Всі публікації розглядають проблеми забезпечення громадської, державної і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вцілому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національної безпеки України і визначають місце Національної гвардії України в цих процесах.</w:t>
            </w:r>
          </w:p>
        </w:tc>
      </w:tr>
      <w:tr w:rsidR="00DF25C3" w:rsidRPr="00E9762F" w:rsidTr="00CA5C3F">
        <w:tc>
          <w:tcPr>
            <w:tcW w:w="758" w:type="dxa"/>
          </w:tcPr>
          <w:p w:rsidR="00DF25C3" w:rsidRPr="00DF25C3" w:rsidRDefault="00DF25C3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2127" w:type="dxa"/>
          </w:tcPr>
          <w:p w:rsidR="00DF25C3" w:rsidRPr="00DF25C3" w:rsidRDefault="00DF25C3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досвід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практичної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роботи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 спеціальністю не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менше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п’яти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років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850" w:type="dxa"/>
          </w:tcPr>
          <w:p w:rsidR="00DF25C3" w:rsidRPr="00DF25C3" w:rsidRDefault="00DF25C3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DF25C3" w:rsidRPr="00DF25C3" w:rsidRDefault="00DF25C3" w:rsidP="00DF25C3">
            <w:pPr>
              <w:widowControl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DF25C3">
              <w:rPr>
                <w:rFonts w:eastAsia="Calibri"/>
                <w:bCs/>
                <w:lang w:eastAsia="en-US"/>
              </w:rPr>
              <w:t>з 1999 року по теперішній час.</w:t>
            </w:r>
          </w:p>
        </w:tc>
        <w:tc>
          <w:tcPr>
            <w:tcW w:w="3686" w:type="dxa"/>
          </w:tcPr>
          <w:p w:rsidR="00DF25C3" w:rsidRPr="00DF25C3" w:rsidRDefault="00DF25C3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Практична робота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здійснювалася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інтересах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національної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безпеки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України</w:t>
            </w:r>
            <w:proofErr w:type="spellEnd"/>
          </w:p>
        </w:tc>
      </w:tr>
      <w:tr w:rsidR="00DF25C3" w:rsidRPr="00E9762F" w:rsidTr="00CA5C3F">
        <w:tc>
          <w:tcPr>
            <w:tcW w:w="758" w:type="dxa"/>
          </w:tcPr>
          <w:p w:rsidR="00DF25C3" w:rsidRPr="00DF25C3" w:rsidRDefault="00DF25C3" w:rsidP="00025145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127" w:type="dxa"/>
          </w:tcPr>
          <w:p w:rsidR="00DF25C3" w:rsidRPr="00DF25C3" w:rsidRDefault="00DF25C3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наукове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консультування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установ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підприємств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організацій протягом не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менше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двох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років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850" w:type="dxa"/>
          </w:tcPr>
          <w:p w:rsidR="00DF25C3" w:rsidRPr="00DF25C3" w:rsidRDefault="00DF25C3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DF25C3" w:rsidRPr="00DF25C3" w:rsidRDefault="00DF25C3" w:rsidP="00DF25C3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DF25C3">
              <w:rPr>
                <w:rFonts w:eastAsia="Calibri"/>
                <w:bCs/>
                <w:lang w:eastAsia="en-US"/>
              </w:rPr>
              <w:t>- член Наукової ради МВС України з 2007 по 2009 рік; наказ від 15.05.2007 №154</w:t>
            </w:r>
          </w:p>
          <w:p w:rsidR="00DF25C3" w:rsidRPr="00DF25C3" w:rsidRDefault="00DF25C3" w:rsidP="00DF25C3">
            <w:pPr>
              <w:widowControl w:val="0"/>
              <w:ind w:firstLine="709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DF25C3">
              <w:rPr>
                <w:rFonts w:eastAsia="Calibri"/>
                <w:bCs/>
                <w:lang w:eastAsia="en-US"/>
              </w:rPr>
              <w:t>- член Наукової ради ВВ МВС України з 2006 по 2009 рік.</w:t>
            </w:r>
          </w:p>
          <w:p w:rsidR="00DF25C3" w:rsidRPr="00DF25C3" w:rsidRDefault="00DF25C3" w:rsidP="00DF25C3">
            <w:pPr>
              <w:widowControl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86" w:type="dxa"/>
          </w:tcPr>
          <w:p w:rsidR="00DF25C3" w:rsidRPr="00DF25C3" w:rsidRDefault="00DF25C3" w:rsidP="0002514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Наукове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консультування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здійснювалася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інтересах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національної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безпеки</w:t>
            </w:r>
            <w:proofErr w:type="spellEnd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25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України</w:t>
            </w:r>
            <w:proofErr w:type="spellEnd"/>
          </w:p>
        </w:tc>
      </w:tr>
    </w:tbl>
    <w:p w:rsidR="005A5CAB" w:rsidRPr="007A71F5" w:rsidRDefault="005A5CAB" w:rsidP="00DF25C3">
      <w:pPr>
        <w:widowControl w:val="0"/>
        <w:jc w:val="both"/>
        <w:outlineLvl w:val="0"/>
        <w:rPr>
          <w:sz w:val="28"/>
          <w:szCs w:val="28"/>
        </w:rPr>
      </w:pPr>
    </w:p>
    <w:sectPr w:rsidR="005A5CAB" w:rsidRPr="007A71F5" w:rsidSect="00A764EE">
      <w:headerReference w:type="default" r:id="rId22"/>
      <w:pgSz w:w="16840" w:h="11907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C5" w:rsidRDefault="00726FC5" w:rsidP="005D13CC">
      <w:r>
        <w:separator/>
      </w:r>
    </w:p>
  </w:endnote>
  <w:endnote w:type="continuationSeparator" w:id="0">
    <w:p w:rsidR="00726FC5" w:rsidRDefault="00726FC5" w:rsidP="005D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C5" w:rsidRDefault="00726FC5" w:rsidP="005D13CC">
      <w:r>
        <w:separator/>
      </w:r>
    </w:p>
  </w:footnote>
  <w:footnote w:type="continuationSeparator" w:id="0">
    <w:p w:rsidR="00726FC5" w:rsidRDefault="00726FC5" w:rsidP="005D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3F" w:rsidRPr="00CA5C3F" w:rsidRDefault="00CA5C3F">
    <w:pPr>
      <w:pStyle w:val="af6"/>
      <w:rPr>
        <w:lang w:val="ru-RU"/>
      </w:rPr>
    </w:pPr>
    <w:proofErr w:type="spellStart"/>
    <w:r>
      <w:rPr>
        <w:lang w:val="ru-RU"/>
      </w:rPr>
      <w:t>Бабков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1DFC"/>
    <w:multiLevelType w:val="singleLevel"/>
    <w:tmpl w:val="918C52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A35"/>
    <w:rsid w:val="00025145"/>
    <w:rsid w:val="0003615D"/>
    <w:rsid w:val="00051364"/>
    <w:rsid w:val="00071003"/>
    <w:rsid w:val="000B017A"/>
    <w:rsid w:val="000C4C76"/>
    <w:rsid w:val="000D4055"/>
    <w:rsid w:val="00122981"/>
    <w:rsid w:val="00157B7D"/>
    <w:rsid w:val="001876A1"/>
    <w:rsid w:val="001F74C9"/>
    <w:rsid w:val="00202A35"/>
    <w:rsid w:val="00220ECA"/>
    <w:rsid w:val="00242C38"/>
    <w:rsid w:val="002D24CE"/>
    <w:rsid w:val="002F299B"/>
    <w:rsid w:val="0030231D"/>
    <w:rsid w:val="00331314"/>
    <w:rsid w:val="0035312B"/>
    <w:rsid w:val="00355AFF"/>
    <w:rsid w:val="003612E5"/>
    <w:rsid w:val="003E0D45"/>
    <w:rsid w:val="0040010D"/>
    <w:rsid w:val="00456350"/>
    <w:rsid w:val="0046060E"/>
    <w:rsid w:val="00553448"/>
    <w:rsid w:val="00565293"/>
    <w:rsid w:val="0057393D"/>
    <w:rsid w:val="005825E0"/>
    <w:rsid w:val="005A0848"/>
    <w:rsid w:val="005A2697"/>
    <w:rsid w:val="005A44D6"/>
    <w:rsid w:val="005A5CAB"/>
    <w:rsid w:val="005D13CC"/>
    <w:rsid w:val="005D3DC3"/>
    <w:rsid w:val="005D70D9"/>
    <w:rsid w:val="00663BDA"/>
    <w:rsid w:val="00667FF2"/>
    <w:rsid w:val="00687A6D"/>
    <w:rsid w:val="00722BD3"/>
    <w:rsid w:val="00726FC5"/>
    <w:rsid w:val="00763E37"/>
    <w:rsid w:val="00797917"/>
    <w:rsid w:val="007A1AC1"/>
    <w:rsid w:val="007B5B98"/>
    <w:rsid w:val="008B2185"/>
    <w:rsid w:val="008C0A4F"/>
    <w:rsid w:val="009B0AA7"/>
    <w:rsid w:val="00A3241B"/>
    <w:rsid w:val="00A764EE"/>
    <w:rsid w:val="00A84DFB"/>
    <w:rsid w:val="00A93F06"/>
    <w:rsid w:val="00AA600C"/>
    <w:rsid w:val="00B77F92"/>
    <w:rsid w:val="00BA5C04"/>
    <w:rsid w:val="00C16F1C"/>
    <w:rsid w:val="00CA01D5"/>
    <w:rsid w:val="00CA5C3F"/>
    <w:rsid w:val="00CA7214"/>
    <w:rsid w:val="00CB5242"/>
    <w:rsid w:val="00CD6856"/>
    <w:rsid w:val="00CE75A4"/>
    <w:rsid w:val="00D5711F"/>
    <w:rsid w:val="00D917A6"/>
    <w:rsid w:val="00DC09FF"/>
    <w:rsid w:val="00DF25C3"/>
    <w:rsid w:val="00E123B6"/>
    <w:rsid w:val="00E30ACE"/>
    <w:rsid w:val="00E914FF"/>
    <w:rsid w:val="00EB447A"/>
    <w:rsid w:val="00F161A2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AE70"/>
  <w15:docId w15:val="{9C16E1D7-890B-41DF-AB23-CFB0D7B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764E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 CYR" w:hAnsi="Times New Roman CYR"/>
      <w:color w:val="FF0000"/>
      <w:spacing w:val="-1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5A44D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semiHidden/>
    <w:unhideWhenUsed/>
    <w:rsid w:val="005D13C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D13C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endnote reference"/>
    <w:basedOn w:val="a0"/>
    <w:uiPriority w:val="99"/>
    <w:semiHidden/>
    <w:unhideWhenUsed/>
    <w:rsid w:val="005D13CC"/>
    <w:rPr>
      <w:vertAlign w:val="superscript"/>
    </w:rPr>
  </w:style>
  <w:style w:type="character" w:styleId="a7">
    <w:name w:val="Hyperlink"/>
    <w:basedOn w:val="a0"/>
    <w:unhideWhenUsed/>
    <w:rsid w:val="005D13CC"/>
    <w:rPr>
      <w:color w:val="0000FF" w:themeColor="hyperlink"/>
      <w:u w:val="single"/>
    </w:rPr>
  </w:style>
  <w:style w:type="paragraph" w:styleId="a8">
    <w:name w:val="Plain Text"/>
    <w:aliases w:val=" Знак2"/>
    <w:basedOn w:val="a"/>
    <w:link w:val="a9"/>
    <w:unhideWhenUsed/>
    <w:rsid w:val="00A3241B"/>
    <w:pPr>
      <w:autoSpaceDE w:val="0"/>
      <w:autoSpaceDN w:val="0"/>
    </w:pPr>
    <w:rPr>
      <w:rFonts w:ascii="Courier New" w:eastAsia="Calibri" w:hAnsi="Courier New" w:cs="Courier New"/>
      <w:color w:val="000000"/>
      <w:sz w:val="28"/>
      <w:szCs w:val="28"/>
      <w:lang w:eastAsia="en-US"/>
    </w:rPr>
  </w:style>
  <w:style w:type="character" w:customStyle="1" w:styleId="a9">
    <w:name w:val="Текст Знак"/>
    <w:aliases w:val=" Знак2 Знак"/>
    <w:basedOn w:val="a0"/>
    <w:link w:val="a8"/>
    <w:rsid w:val="00A3241B"/>
    <w:rPr>
      <w:rFonts w:ascii="Courier New" w:eastAsia="Calibri" w:hAnsi="Courier New" w:cs="Courier New"/>
      <w:color w:val="000000"/>
      <w:sz w:val="28"/>
      <w:szCs w:val="28"/>
      <w:lang w:val="uk-UA"/>
    </w:rPr>
  </w:style>
  <w:style w:type="table" w:styleId="aa">
    <w:name w:val="Table Grid"/>
    <w:basedOn w:val="a1"/>
    <w:uiPriority w:val="59"/>
    <w:rsid w:val="00071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C09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C09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C09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09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C09FF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0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09F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A764EE"/>
    <w:rPr>
      <w:rFonts w:ascii="Times New Roman CYR" w:eastAsia="Times New Roman" w:hAnsi="Times New Roman CYR" w:cs="Times New Roman"/>
      <w:color w:val="FF0000"/>
      <w:spacing w:val="-10"/>
      <w:sz w:val="28"/>
      <w:szCs w:val="20"/>
      <w:lang w:val="uk-UA" w:eastAsia="ru-RU"/>
    </w:rPr>
  </w:style>
  <w:style w:type="paragraph" w:styleId="af2">
    <w:name w:val="No Spacing"/>
    <w:qFormat/>
    <w:rsid w:val="00A764EE"/>
    <w:rPr>
      <w:rFonts w:ascii="Calibri" w:eastAsia="Calibri" w:hAnsi="Calibri" w:cs="Times New Roman"/>
    </w:rPr>
  </w:style>
  <w:style w:type="paragraph" w:customStyle="1" w:styleId="af3">
    <w:name w:val="Знак Знак Знак Знак Знак Знак Знак"/>
    <w:basedOn w:val="a"/>
    <w:rsid w:val="00A764EE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FontStyle22">
    <w:name w:val="Font Style22"/>
    <w:rsid w:val="00A764EE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Body Text"/>
    <w:basedOn w:val="a"/>
    <w:link w:val="af5"/>
    <w:rsid w:val="00A764EE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ru-RU"/>
    </w:rPr>
  </w:style>
  <w:style w:type="character" w:customStyle="1" w:styleId="af5">
    <w:name w:val="Основной текст Знак"/>
    <w:basedOn w:val="a0"/>
    <w:link w:val="af4"/>
    <w:rsid w:val="00A76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CA5C3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A5C3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8">
    <w:name w:val="footer"/>
    <w:basedOn w:val="a"/>
    <w:link w:val="af9"/>
    <w:uiPriority w:val="99"/>
    <w:unhideWhenUsed/>
    <w:rsid w:val="00CA5C3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A5C3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sc.org/journals/index.php/IJAST/article/view/1210" TargetMode="External"/><Relationship Id="rId13" Type="http://schemas.openxmlformats.org/officeDocument/2006/relationships/hyperlink" Target="http://chiz.nangu.edu.ua/article/view/177929" TargetMode="External"/><Relationship Id="rId18" Type="http://schemas.openxmlformats.org/officeDocument/2006/relationships/hyperlink" Target="file:///C:\Users\&#1070;&#1088;&#1080;&#1081;%20&#1055;&#1072;&#1074;&#1083;&#1086;&#1074;&#1080;&#1095;\Desktop\&#1079;&#1073;&#1110;&#1088;&#1085;&#1080;&#1082;%20&#1090;&#1077;&#1079;%20&#1082;&#1088;&#1091;&#1075;&#1083;&#1086;&#1075;&#1086;%20&#1089;&#1090;&#1086;&#1083;&#1091;%202019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o.univ.kiev.ua/images/%20_25_11_2016_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iz.nangu.edu.ua/article/view/136934" TargetMode="External"/><Relationship Id="rId17" Type="http://schemas.openxmlformats.org/officeDocument/2006/relationships/hyperlink" Target="file:///C:\Users\&#1070;&#1088;&#1080;&#1081;%20&#1055;&#1072;&#1074;&#1083;&#1086;&#1074;&#1080;&#1095;\Desktop\&#1047;&#1073;&#1110;&#1088;&#1085;&#1080;&#1082;%20&#1090;&#1077;&#1079;%202019_&#1089;&#1077;&#1082;&#1094;&#1110;&#1103;%201%20&#1054;&#1057;&#1058;&#1040;&#1053;&#1053;&#1048;&#1049;%2011.03.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70;&#1088;&#1080;&#1081;%20&#1055;&#1072;&#1074;&#1083;&#1086;&#1074;&#1080;&#1095;\Desktop\&#1047;&#1073;&#1110;&#1088;&#1085;&#1080;&#1082;%20&#1090;&#1077;&#1079;%202019_&#1089;&#1077;&#1082;&#1094;&#1110;&#1103;%201%20&#1054;&#1057;&#1058;&#1040;&#1053;&#1053;&#1048;&#1049;%2011.03.2019.pdf" TargetMode="External"/><Relationship Id="rId20" Type="http://schemas.openxmlformats.org/officeDocument/2006/relationships/hyperlink" Target="file:///C:\Users\&#1070;&#1088;&#1080;&#1081;%20&#1055;&#1072;&#1074;&#1083;&#1086;&#1074;&#1080;&#1095;\Desktop\&#1050;&#1088;&#1091;&#1075;&#1083;&#1080;&#1081;%20&#1089;&#1090;&#1110;&#1083;%20&#1030;&#1055;&#1070;&#1050;%20&#1057;&#1041;&#1059;%2024.04.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z.nangu.edu.ua/article/view/1779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0;&#1088;&#1080;&#1081;%20&#1055;&#1072;&#1074;&#1083;&#1086;&#1074;&#1080;&#1095;\Desktop\&#1055;&#1086;&#1089;&#1083;&#1091;&#1078;&#1085;&#1072;%20&#1082;&#1072;&#1088;&#1090;&#1082;&#1072;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hiz.nangu.edu.ua/article/view/156848" TargetMode="External"/><Relationship Id="rId19" Type="http://schemas.openxmlformats.org/officeDocument/2006/relationships/hyperlink" Target="file:///C:\Users\&#1070;&#1088;&#1080;&#1081;%20&#1055;&#1072;&#1074;&#1083;&#1086;&#1074;&#1080;&#1095;\Desktop\&#1047;&#1073;&#1110;&#1088;&#1085;&#1080;&#1082;%20&#1090;&#1077;&#1079;%202020_&#1089;&#1077;&#1082;&#1094;&#1110;&#1103;%201%20&#1057;&#1040;&#1049;&#1058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z.nangu.edu.ua/article/view/196971" TargetMode="External"/><Relationship Id="rId14" Type="http://schemas.openxmlformats.org/officeDocument/2006/relationships/hyperlink" Target="file:///C:\Users\&#1070;&#1088;&#1080;&#1081;%20&#1055;&#1072;&#1074;&#1083;&#1086;&#1074;&#1080;&#1095;\Desktop\&#1063;&#1110;&#1047;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FD32-4C09-48A5-AB79-731A4096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AVV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2020-07-09T13:09:00Z</dcterms:created>
  <dcterms:modified xsi:type="dcterms:W3CDTF">2020-07-09T15:20:00Z</dcterms:modified>
</cp:coreProperties>
</file>